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83440E" w:rsidRPr="0083440E" w:rsidTr="00A7150D">
        <w:trPr>
          <w:trHeight w:hRule="exact" w:val="694"/>
        </w:trPr>
        <w:tc>
          <w:tcPr>
            <w:tcW w:w="9923" w:type="dxa"/>
            <w:gridSpan w:val="5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bookmarkStart w:id="0" w:name="_GoBack"/>
            <w:r w:rsidRPr="0083440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EF04664" wp14:editId="02C936AF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83440E" w:rsidTr="00A7150D">
        <w:trPr>
          <w:trHeight w:hRule="exact" w:val="448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277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83440E" w:rsidTr="00A7150D">
        <w:trPr>
          <w:trHeight w:hRule="exact" w:val="138"/>
        </w:trPr>
        <w:tc>
          <w:tcPr>
            <w:tcW w:w="2268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3C2B05">
            <w:pPr>
              <w:spacing w:after="200"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3440E" w:rsidRPr="0083440E" w:rsidTr="00A7150D">
        <w:trPr>
          <w:trHeight w:hRule="exact" w:val="1250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83440E" w:rsidRDefault="0083440E" w:rsidP="003C2B0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83440E" w:rsidRPr="0083440E" w:rsidTr="00A7150D">
        <w:trPr>
          <w:trHeight w:hRule="exact" w:val="2222"/>
        </w:trPr>
        <w:tc>
          <w:tcPr>
            <w:tcW w:w="2268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83440E" w:rsidRDefault="0083440E" w:rsidP="003C2B05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3440E" w:rsidRPr="0083440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46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ОЦЕНОЧНЫЕ МАТЕРИАЛЫ (ОЦЕНОЧНЫЕ СРЕДСТВА)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b/>
                <w:color w:val="000000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F02BBD" w:rsidRPr="0083440E" w:rsidTr="00A7150D">
        <w:trPr>
          <w:trHeight w:hRule="exact" w:val="301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по дисциплине</w:t>
            </w:r>
            <w:r w:rsidRPr="008344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(модулю) или практике</w:t>
            </w:r>
          </w:p>
          <w:p w:rsidR="005337D5" w:rsidRDefault="005337D5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Организация и осуществление профессиональной подготовки в области машиностроения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  <w:r w:rsidRPr="0083440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6C5D4A" w:rsidRPr="0083440E" w:rsidRDefault="006C5D4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337D5" w:rsidRDefault="005337D5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u w:val="single"/>
              </w:rPr>
              <w:t>15.04.02 Технологические машины и оборудование</w:t>
            </w:r>
          </w:p>
          <w:p w:rsidR="00F02BBD" w:rsidRPr="006C5D4A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6C5D4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направление подготовки</w:t>
            </w:r>
          </w:p>
          <w:p w:rsidR="006C5D4A" w:rsidRDefault="006C5D4A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5337D5" w:rsidRDefault="005337D5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15.04.02 Совершенствование элементов конструкций машин и оборудования нефтегазовых промыслов</w:t>
            </w:r>
          </w:p>
          <w:p w:rsidR="00F02BBD" w:rsidRPr="006C5D4A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6C5D4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профиль образовательной программы</w:t>
            </w: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589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Pr="0083440E" w:rsidRDefault="00F02BBD" w:rsidP="00F02BBD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972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724"/>
        </w:trPr>
        <w:tc>
          <w:tcPr>
            <w:tcW w:w="2268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F02BBD" w:rsidRPr="0083440E" w:rsidRDefault="00F02BBD" w:rsidP="00F02BBD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F02BBD" w:rsidRPr="0083440E" w:rsidTr="00A7150D">
        <w:trPr>
          <w:trHeight w:hRule="exact" w:val="2064"/>
        </w:trPr>
        <w:tc>
          <w:tcPr>
            <w:tcW w:w="9923" w:type="dxa"/>
            <w:gridSpan w:val="5"/>
            <w:shd w:val="clear" w:color="000000" w:fill="FFFFFF"/>
            <w:tcMar>
              <w:left w:w="34" w:type="dxa"/>
              <w:right w:w="34" w:type="dxa"/>
            </w:tcMar>
          </w:tcPr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Default="00F02BBD" w:rsidP="00F02BBD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</w:rPr>
            </w:pPr>
          </w:p>
          <w:p w:rsidR="00F02BBD" w:rsidRPr="00A033E9" w:rsidRDefault="00F02BBD" w:rsidP="00603414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202</w:t>
            </w:r>
            <w:r w:rsidR="00603414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4</w:t>
            </w:r>
            <w:r w:rsidR="00A405D8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033E9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</w:rPr>
              <w:t>г.</w:t>
            </w:r>
          </w:p>
        </w:tc>
      </w:tr>
    </w:tbl>
    <w:p w:rsidR="0083440E" w:rsidRPr="0083440E" w:rsidRDefault="0083440E" w:rsidP="00A749A7">
      <w:pPr>
        <w:spacing w:after="200" w:line="276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:rsidR="00F02BBD" w:rsidRPr="0083440E" w:rsidRDefault="00F02BB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Лист согласования</w:t>
      </w:r>
    </w:p>
    <w:p w:rsidR="00F02BBD" w:rsidRPr="0083440E" w:rsidRDefault="00F02BBD" w:rsidP="00F02BBD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Оценочные материалы (оценочные средства) </w:t>
      </w: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Рассмотрены и одобрены на заседании учебно-научного подразделения</w:t>
      </w:r>
      <w:r w:rsidR="00E95BC2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5337D5">
        <w:rPr>
          <w:rFonts w:ascii="Times New Roman" w:eastAsia="Times New Roman" w:hAnsi="Times New Roman" w:cs="Times New Roman"/>
          <w:sz w:val="28"/>
          <w:lang w:eastAsia="ru-RU"/>
        </w:rPr>
        <w:t>Машины и оборудование нефтегазового  комплекса</w:t>
      </w:r>
      <w:r w:rsidR="00E95BC2">
        <w:rPr>
          <w:rFonts w:ascii="Times New Roman" w:eastAsia="Times New Roman" w:hAnsi="Times New Roman" w:cs="Times New Roman"/>
          <w:sz w:val="28"/>
          <w:lang w:eastAsia="ru-RU"/>
        </w:rPr>
        <w:t>»,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протокол №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9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C471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C47197" w:rsidRPr="00C4719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Разработчик (и)</w:t>
      </w:r>
    </w:p>
    <w:p w:rsidR="00F02BBD" w:rsidRPr="0083440E" w:rsidRDefault="005337D5" w:rsidP="008C3422">
      <w:pPr>
        <w:spacing w:after="13" w:line="268" w:lineRule="auto"/>
        <w:ind w:left="-142" w:right="214" w:firstLine="708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доцент</w:t>
      </w:r>
      <w:r w:rsidR="00220C4F" w:rsidRP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8C3422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220C4F" w:rsidRP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____________</w:t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1C0A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Корчагина М.В.</w:t>
      </w:r>
    </w:p>
    <w:p w:rsidR="00F02BBD" w:rsidRDefault="008C3422" w:rsidP="00603414">
      <w:pPr>
        <w:spacing w:after="13" w:line="268" w:lineRule="auto"/>
        <w:ind w:right="214" w:hanging="993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                                                                   </w:t>
      </w:r>
      <w:r w:rsidR="00F02BBD"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4332B8" w:rsidP="004332B8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Руководитель УНП, ответственного за разработку ОМ (ОС)</w:t>
      </w:r>
    </w:p>
    <w:p w:rsidR="00935D39" w:rsidRDefault="00935D39" w:rsidP="007E7302">
      <w:pPr>
        <w:spacing w:after="13" w:line="268" w:lineRule="auto"/>
        <w:ind w:right="214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Заведующий кафедрой</w:t>
      </w:r>
    </w:p>
    <w:p w:rsidR="005337D5" w:rsidRDefault="005337D5" w:rsidP="00EE2508">
      <w:pPr>
        <w:spacing w:after="13" w:line="268" w:lineRule="auto"/>
        <w:ind w:left="-709" w:right="214" w:firstLine="8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Машины и оборудование нефтегазового  комплекса</w:t>
      </w:r>
      <w:r w:rsidR="00935D3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</w:t>
      </w:r>
      <w:r w:rsidR="004332B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_____</w:t>
      </w:r>
      <w:r w:rsidR="00F02BBD"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__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Киреев С.О.</w:t>
      </w:r>
    </w:p>
    <w:p w:rsidR="00F02BBD" w:rsidRPr="0083440E" w:rsidRDefault="00F02BBD" w:rsidP="00EE2508">
      <w:pPr>
        <w:spacing w:after="13" w:line="268" w:lineRule="auto"/>
        <w:ind w:left="-709" w:right="214" w:firstLine="85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0"/>
          <w:lang w:eastAsia="ru-RU"/>
        </w:rPr>
        <w:t>подпись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18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преля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20</w:t>
      </w:r>
      <w:r w:rsidR="005952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г.</w:t>
      </w:r>
    </w:p>
    <w:p w:rsidR="00F02BBD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15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00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«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Машиностроение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протокол №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от «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21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» 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мая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20</w:t>
      </w:r>
      <w:r w:rsidR="00D7006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</w:t>
      </w:r>
      <w:r w:rsidR="006034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 </w:t>
      </w:r>
    </w:p>
    <w:p w:rsidR="00F02BBD" w:rsidRPr="0083440E" w:rsidRDefault="00F02BBD" w:rsidP="00F02BBD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F02BBD" w:rsidRPr="0083440E" w:rsidRDefault="00F02BBD" w:rsidP="00F02BBD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br w:type="page"/>
      </w:r>
    </w:p>
    <w:p w:rsidR="00F02BBD" w:rsidRPr="0083440E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83440E">
        <w:rPr>
          <w:rFonts w:ascii="Times New Roman" w:eastAsiaTheme="minorEastAsia" w:hAnsi="Times New Roman" w:cs="Times New Roman"/>
          <w:b/>
          <w:color w:val="000000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497" w:type="dxa"/>
        <w:tblInd w:w="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F02BBD" w:rsidRPr="0083440E" w:rsidTr="00A62C0F"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ОПК-14 : Способен организовывать и осуществлять профессиональную подготовку по образовательным программам в области машиностроения.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ОПК-14.1 : Организует и проводит профессиональную подготовку по образовательным программам в области машиностроения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ОПК-14.1.1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Помнит алгоритм и методику разработки программ отдельных учебных программ; основные этапы формирования образовательных результатов и содержание учебных дисциплин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ОПК-14.1.2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Понимает как использовать алгоритм и методику разработки программ отдельных учебных программ; анализировать содержание программы для формирования образовательных результатов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Уровень освоения индикатора компетенции ОПК-14.1.3</w:t>
            </w:r>
          </w:p>
          <w:p w:rsidR="005337D5" w:rsidRDefault="005337D5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Применяет навыки разработки основных и дополнительных образовательных программ; навыки разработки образовательных результатов, в том числе учебных дисциплин, и системы их оценивания, в том числе с использованием ИКТ (в области машиностроения)</w:t>
            </w:r>
          </w:p>
          <w:p w:rsidR="004E2881" w:rsidRPr="0083440E" w:rsidRDefault="004E2881" w:rsidP="005628A3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F02BBD" w:rsidRDefault="00F02BBD" w:rsidP="00F02BBD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02BBD" w:rsidRDefault="00F02BBD" w:rsidP="009C5C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p w:rsidR="00BB047B" w:rsidRPr="00BB047B" w:rsidRDefault="00BB047B" w:rsidP="00BB047B">
      <w:pPr>
        <w:spacing w:after="0"/>
        <w:rPr>
          <w:sz w:val="2"/>
          <w:szCs w:val="2"/>
        </w:rPr>
      </w:pPr>
    </w:p>
    <w:tbl>
      <w:tblPr>
        <w:tblW w:w="94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34"/>
        <w:gridCol w:w="1838"/>
        <w:gridCol w:w="1985"/>
        <w:gridCol w:w="1275"/>
        <w:gridCol w:w="1701"/>
        <w:gridCol w:w="1563"/>
      </w:tblGrid>
      <w:tr w:rsidR="008C453F" w:rsidRPr="00CB18D5" w:rsidTr="005E1421">
        <w:trPr>
          <w:trHeight w:val="20"/>
          <w:jc w:val="center"/>
        </w:trPr>
        <w:tc>
          <w:tcPr>
            <w:tcW w:w="1134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Уровень освоения </w:t>
            </w:r>
          </w:p>
        </w:tc>
        <w:tc>
          <w:tcPr>
            <w:tcW w:w="1838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985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учебных занятий, работы, формы и методы обучения, способствующие формированию и развитию компетенции </w:t>
            </w:r>
          </w:p>
        </w:tc>
        <w:tc>
          <w:tcPr>
            <w:tcW w:w="1275" w:type="dxa"/>
            <w:shd w:val="clear" w:color="auto" w:fill="auto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Оценочные материалы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(оценочные средства), используемые для оценки уровня </w:t>
            </w:r>
          </w:p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563" w:type="dxa"/>
          </w:tcPr>
          <w:p w:rsidR="008C453F" w:rsidRPr="009C5CEC" w:rsidRDefault="008C453F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5C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Критерии оценивания компетенций </w:t>
            </w:r>
          </w:p>
        </w:tc>
      </w:tr>
      <w:tr w:rsidR="005337D5" w:rsidRPr="00CB18D5" w:rsidTr="005E1421">
        <w:trPr>
          <w:trHeight w:val="20"/>
          <w:jc w:val="center"/>
        </w:trPr>
        <w:tc>
          <w:tcPr>
            <w:tcW w:w="1134" w:type="dxa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ОПК-14.1.1</w:t>
            </w:r>
          </w:p>
        </w:tc>
        <w:tc>
          <w:tcPr>
            <w:tcW w:w="1838" w:type="dxa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Помнит алгоритм и методику разработки программ отдельных учебных программ; основные этапы формирования образовательных результатов и содержание учебных дисциплин</w:t>
            </w:r>
          </w:p>
        </w:tc>
        <w:tc>
          <w:tcPr>
            <w:tcW w:w="1985" w:type="dxa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2.3; 1.4; 4.2; 3.2; 2.2; 2.2; 4.1; 3.2; 4.3; 2.4; 2.1; 4.2; 1.5; 1.5; 1.3; 2.1; ; 3.4; </w:t>
            </w:r>
          </w:p>
        </w:tc>
        <w:tc>
          <w:tcPr>
            <w:tcW w:w="1701" w:type="dxa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экзамен.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5337D5" w:rsidRPr="009C5CEC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Ответы на вопросы на экзамен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преподавателя в рамках занятия</w:t>
            </w:r>
          </w:p>
        </w:tc>
      </w:tr>
      <w:tr w:rsidR="005337D5" w:rsidRPr="00CB18D5" w:rsidTr="005E1421">
        <w:trPr>
          <w:trHeight w:val="20"/>
          <w:jc w:val="center"/>
        </w:trPr>
        <w:tc>
          <w:tcPr>
            <w:tcW w:w="1134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ОПК-14.1.2</w:t>
            </w:r>
          </w:p>
        </w:tc>
        <w:tc>
          <w:tcPr>
            <w:tcW w:w="1838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Понимает как использовать алгоритм и методику разработки программ отдельных учебных программ; анализировать содержание программы для формирования образовательных результатов</w:t>
            </w:r>
          </w:p>
        </w:tc>
        <w:tc>
          <w:tcPr>
            <w:tcW w:w="1985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4.1; 1.5; 3.4; 2.2; 4.1; 3.4; 2.3; 1.1; 2.2; 2.1; 3.4; 2.1; 3.5; 1.3; 3.2; 4.3; 1.4; 4.3; </w:t>
            </w:r>
          </w:p>
        </w:tc>
        <w:tc>
          <w:tcPr>
            <w:tcW w:w="1701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экзамен.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на экзамен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  <w:tr w:rsidR="005337D5" w:rsidRPr="00CB18D5" w:rsidTr="005E1421">
        <w:trPr>
          <w:trHeight w:val="20"/>
          <w:jc w:val="center"/>
        </w:trPr>
        <w:tc>
          <w:tcPr>
            <w:tcW w:w="1134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ОПК-14.1.3</w:t>
            </w:r>
          </w:p>
        </w:tc>
        <w:tc>
          <w:tcPr>
            <w:tcW w:w="1838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Применяет навыки разработки основных и дополнительных образовательных программ; навыки разработки образовательных результатов, в том числе учебных дисциплин, и системы их оценивания, в том числе с использованием ИКТ (в области машиностроения)</w:t>
            </w:r>
          </w:p>
        </w:tc>
        <w:tc>
          <w:tcPr>
            <w:tcW w:w="1985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Лекционные занятия, практические занятия, Междисциплинарное обучение; Групповые консультации; Контекстное обучение; Проблемное обучение; Работа в малых группах; Методы мозгового штурма; Самостоятельная работа</w:t>
            </w:r>
          </w:p>
        </w:tc>
        <w:tc>
          <w:tcPr>
            <w:tcW w:w="1275" w:type="dxa"/>
            <w:shd w:val="clear" w:color="auto" w:fill="auto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1.2; 4.4; 3.2; 3.2; 4.2; 3.1; 1.4; 4.1; 1.1; 2.3; 3.5; 1.4; 2.2; 2.2; 2.4; 1.5; 3.1; 1.4; </w:t>
            </w:r>
          </w:p>
        </w:tc>
        <w:tc>
          <w:tcPr>
            <w:tcW w:w="1701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Комплект тестовых заданий, Вопросы и задания на экзамен. Вопросы для проведения текущего контроля (самоконтроля), задания на практические работы; Вопросы для защиты работ</w:t>
            </w:r>
          </w:p>
        </w:tc>
        <w:tc>
          <w:tcPr>
            <w:tcW w:w="1563" w:type="dxa"/>
          </w:tcPr>
          <w:p w:rsidR="005337D5" w:rsidRDefault="005337D5" w:rsidP="008C4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Ответы на вопросы на экзамен (вопросы 1 и 2), выполнение практического задания на  (вопрос 3), ответы на вопросы самоконтроля (устный опрос), выполненные практические работы, выполнение тестовых заданий, ответы на вопросы преподавателя в рамках занятия</w:t>
            </w:r>
          </w:p>
        </w:tc>
      </w:tr>
    </w:tbl>
    <w:p w:rsidR="00F02BBD" w:rsidRDefault="00F02BBD" w:rsidP="009C5C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4"/>
        </w:rPr>
      </w:pPr>
    </w:p>
    <w:p w:rsidR="00F02BBD" w:rsidRPr="0083440E" w:rsidRDefault="00F02BBD" w:rsidP="00F02BBD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83440E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</w:t>
      </w:r>
      <w:r w:rsidRPr="00A67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дисциплины); диагностическое дисциплинарное тестирование, промежуточная аттестация (оце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нивается уровень и качество подготовки по дисциплине в целом).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D24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</w:t>
      </w:r>
      <w:r w:rsidR="00974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раза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семестр</w:t>
      </w:r>
      <w:r w:rsidR="00B777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(две контрольные точки)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предполагает начисление баллов за выполнение различных видов работ.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F02BBD" w:rsidRDefault="00F02BBD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Промежуточная аттестация по дисциплине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5337D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Организация и осуществление профессиональной подготовки в области машиностроения</w:t>
      </w:r>
      <w:r w:rsidR="000002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проводится в форме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337D5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экзамена</w:t>
      </w:r>
      <w:r w:rsidR="00B12434" w:rsidRPr="00B12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таблицах 2.1,</w:t>
      </w:r>
      <w:r w:rsidR="00D24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2.1.1</w:t>
      </w: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приведено весовое распределение баллов.</w:t>
      </w:r>
    </w:p>
    <w:p w:rsidR="009B1B0A" w:rsidRPr="009B1B0A" w:rsidRDefault="005337D5" w:rsidP="009B1B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ko-KR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ko-KR"/>
        </w:rPr>
        <w:t>Итоговое количество баллов по результатам промежуточной аттестации с формой контроля экзамен: менее 61 балла - неудовлетворительно; 61-75 баллов - удовлетворительно; 76-90 баллов - хорошо; 91-100 баллов - отлично.</w:t>
      </w:r>
    </w:p>
    <w:p w:rsidR="00B16186" w:rsidRDefault="00B16186" w:rsidP="002A7F6E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EA205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 Распределение баллов по дисциплине (очная</w:t>
      </w:r>
      <w:r w:rsidR="00EA2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очно-заочная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</w:t>
      </w:r>
      <w:r w:rsidR="002A7F6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обучения)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1417"/>
        <w:gridCol w:w="1276"/>
        <w:gridCol w:w="1701"/>
      </w:tblGrid>
      <w:tr w:rsidR="00504CA2" w:rsidRPr="0083440E" w:rsidTr="009B2BEA">
        <w:trPr>
          <w:cantSplit/>
          <w:jc w:val="center"/>
        </w:trPr>
        <w:tc>
          <w:tcPr>
            <w:tcW w:w="5524" w:type="dxa"/>
            <w:vMerge w:val="restart"/>
            <w:vAlign w:val="center"/>
          </w:tcPr>
          <w:p w:rsidR="00504CA2" w:rsidRPr="0083440E" w:rsidRDefault="00504CA2" w:rsidP="00504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4394" w:type="dxa"/>
            <w:gridSpan w:val="3"/>
          </w:tcPr>
          <w:p w:rsidR="00504CA2" w:rsidRPr="0083440E" w:rsidRDefault="00504CA2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D74E2F" w:rsidRPr="0083440E" w:rsidTr="009B2BEA">
        <w:trPr>
          <w:cantSplit/>
          <w:jc w:val="center"/>
        </w:trPr>
        <w:tc>
          <w:tcPr>
            <w:tcW w:w="5524" w:type="dxa"/>
            <w:vMerge/>
          </w:tcPr>
          <w:p w:rsidR="00D74E2F" w:rsidRPr="0083440E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417" w:type="dxa"/>
            <w:shd w:val="clear" w:color="auto" w:fill="auto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1 контр. точка (тематический блок)</w:t>
            </w:r>
          </w:p>
        </w:tc>
        <w:tc>
          <w:tcPr>
            <w:tcW w:w="1276" w:type="dxa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2 контр. точка (тематический блок)</w:t>
            </w:r>
          </w:p>
        </w:tc>
        <w:tc>
          <w:tcPr>
            <w:tcW w:w="1701" w:type="dxa"/>
          </w:tcPr>
          <w:p w:rsidR="00D74E2F" w:rsidRPr="00D74E2F" w:rsidRDefault="00D74E2F" w:rsidP="000D6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</w:pPr>
            <w:r w:rsidRPr="00D74E2F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3 контр. точка (диагностическое тестирование</w:t>
            </w:r>
          </w:p>
        </w:tc>
      </w:tr>
      <w:tr w:rsidR="006F5843" w:rsidRPr="0083440E" w:rsidTr="009B2BEA">
        <w:trPr>
          <w:cantSplit/>
          <w:jc w:val="center"/>
        </w:trPr>
        <w:tc>
          <w:tcPr>
            <w:tcW w:w="5524" w:type="dxa"/>
          </w:tcPr>
          <w:p w:rsidR="006F5843" w:rsidRPr="0083440E" w:rsidRDefault="006F5843" w:rsidP="006F5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ого</w:t>
            </w: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блока)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F5843" w:rsidRPr="0083440E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0.4</w:t>
            </w:r>
          </w:p>
        </w:tc>
        <w:tc>
          <w:tcPr>
            <w:tcW w:w="1276" w:type="dxa"/>
            <w:vAlign w:val="center"/>
          </w:tcPr>
          <w:p w:rsidR="006F5843" w:rsidRPr="0083440E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</w:t>
            </w:r>
            <w:r w:rsidR="00D243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4</w:t>
            </w:r>
          </w:p>
        </w:tc>
        <w:tc>
          <w:tcPr>
            <w:tcW w:w="1701" w:type="dxa"/>
            <w:vAlign w:val="center"/>
          </w:tcPr>
          <w:p w:rsidR="006F5843" w:rsidRDefault="006F5843" w:rsidP="00D2431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0.</w:t>
            </w:r>
            <w:r w:rsidR="00D2431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</w:t>
            </w:r>
          </w:p>
        </w:tc>
      </w:tr>
      <w:tr w:rsidR="006F5843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6F5843" w:rsidRPr="0083440E" w:rsidRDefault="006F5843" w:rsidP="00D74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(100 баллов)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83440E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417" w:type="dxa"/>
            <w:shd w:val="clear" w:color="auto" w:fill="auto"/>
          </w:tcPr>
          <w:p w:rsidR="009B2BEA" w:rsidRPr="0083440E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9B2BEA" w:rsidRPr="0083440E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работ по дисциплине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Устные ответы на практических занятиях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Выполнение тестовых заданий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B2BEA" w:rsidRPr="0083440E" w:rsidTr="009B2BEA">
        <w:trPr>
          <w:cantSplit/>
          <w:jc w:val="center"/>
        </w:trPr>
        <w:tc>
          <w:tcPr>
            <w:tcW w:w="5524" w:type="dxa"/>
          </w:tcPr>
          <w:p w:rsidR="009B2BEA" w:rsidRPr="00497B88" w:rsidRDefault="009B2BEA" w:rsidP="009B2B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497B88">
              <w:rPr>
                <w:rFonts w:ascii="Times New Roman" w:hAnsi="Times New Roman" w:cs="Times New Roman"/>
                <w:sz w:val="24"/>
                <w:szCs w:val="24"/>
              </w:rPr>
              <w:t>Проведение открытого урока</w:t>
            </w:r>
          </w:p>
        </w:tc>
        <w:tc>
          <w:tcPr>
            <w:tcW w:w="1417" w:type="dxa"/>
            <w:shd w:val="clear" w:color="auto" w:fill="auto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9B2BEA" w:rsidRPr="00497B88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01" w:type="dxa"/>
          </w:tcPr>
          <w:p w:rsidR="009B2BEA" w:rsidRDefault="009B2BEA" w:rsidP="009B2B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A7F6E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2A7F6E" w:rsidRPr="0083440E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344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Контрольная точка=сумма баллов за контрольную точку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 контрольной точки (КТ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r w:rsidRPr="008344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83440E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2A7F6E" w:rsidRPr="00EA1554" w:rsidTr="009B2BEA">
        <w:trPr>
          <w:cantSplit/>
          <w:jc w:val="center"/>
        </w:trPr>
        <w:tc>
          <w:tcPr>
            <w:tcW w:w="9918" w:type="dxa"/>
            <w:gridSpan w:val="4"/>
          </w:tcPr>
          <w:p w:rsidR="002A7F6E" w:rsidRPr="008531B6" w:rsidRDefault="002A7F6E" w:rsidP="000D6C7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8531B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Pr="008531B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2A7F6E" w:rsidRPr="0083440E" w:rsidTr="009B2BEA">
        <w:trPr>
          <w:cantSplit/>
          <w:jc w:val="center"/>
        </w:trPr>
        <w:tc>
          <w:tcPr>
            <w:tcW w:w="9918" w:type="dxa"/>
            <w:gridSpan w:val="4"/>
          </w:tcPr>
          <w:p w:rsidR="00312F92" w:rsidRDefault="005337D5" w:rsidP="00D7632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ko-KR"/>
              </w:rPr>
              <w:t>По дисциплине Организация и осуществление профессиональной подготовки в области машиностроения проводится промежуточная аттестация в форме экзамена.</w:t>
            </w:r>
          </w:p>
          <w:p w:rsidR="00451E33" w:rsidRPr="00312F92" w:rsidRDefault="005337D5" w:rsidP="00451E33">
            <w:pPr>
              <w:tabs>
                <w:tab w:val="num" w:pos="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ru-RU"/>
              </w:rPr>
              <w:t>Экзаменационный билет по дисциплине Организация и осуществление профессиональной подготовки в области машиностроения включает в себя 3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- 30 баллов, за второй вопрос - 30 баллов, за третий вопрос - 40 баллов.</w:t>
            </w:r>
          </w:p>
        </w:tc>
      </w:tr>
    </w:tbl>
    <w:p w:rsidR="00EA205C" w:rsidRDefault="00EA205C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834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976"/>
        <w:gridCol w:w="2977"/>
      </w:tblGrid>
      <w:tr w:rsidR="00F02BBD" w:rsidRPr="0083440E" w:rsidTr="00FD17B9">
        <w:trPr>
          <w:cantSplit/>
        </w:trPr>
        <w:tc>
          <w:tcPr>
            <w:tcW w:w="3686" w:type="dxa"/>
            <w:vMerge w:val="restart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953" w:type="dxa"/>
            <w:gridSpan w:val="2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F02BBD" w:rsidRPr="0083440E" w:rsidTr="00FD17B9">
        <w:trPr>
          <w:cantSplit/>
        </w:trPr>
        <w:tc>
          <w:tcPr>
            <w:tcW w:w="3686" w:type="dxa"/>
            <w:vMerge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1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контр. точка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977" w:type="dxa"/>
            <w:shd w:val="clear" w:color="auto" w:fill="auto"/>
          </w:tcPr>
          <w:p w:rsidR="00F02BBD" w:rsidRPr="0083440E" w:rsidRDefault="00F02BBD" w:rsidP="008C1C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контр. </w:t>
            </w:r>
            <w:r w:rsidR="008C1C17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</w:t>
            </w:r>
            <w:r w:rsidR="005D01D0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 xml:space="preserve"> 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83440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F02BBD" w:rsidRPr="0083440E" w:rsidTr="00FD17B9">
        <w:trPr>
          <w:cantSplit/>
        </w:trPr>
        <w:tc>
          <w:tcPr>
            <w:tcW w:w="9639" w:type="dxa"/>
            <w:gridSpan w:val="3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F02BBD" w:rsidRPr="0083440E" w:rsidTr="00FD17B9">
        <w:trPr>
          <w:cantSplit/>
        </w:trPr>
        <w:tc>
          <w:tcPr>
            <w:tcW w:w="368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977" w:type="dxa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F02BBD" w:rsidRPr="0083440E" w:rsidTr="00FD17B9">
        <w:trPr>
          <w:cantSplit/>
          <w:trHeight w:val="332"/>
        </w:trPr>
        <w:tc>
          <w:tcPr>
            <w:tcW w:w="9639" w:type="dxa"/>
            <w:gridSpan w:val="3"/>
            <w:shd w:val="clear" w:color="auto" w:fill="auto"/>
          </w:tcPr>
          <w:p w:rsidR="00F02BBD" w:rsidRPr="0083440E" w:rsidRDefault="00F02BBD" w:rsidP="005D01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83440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F02BBD" w:rsidRPr="0083440E" w:rsidTr="00FD17B9">
        <w:trPr>
          <w:cantSplit/>
          <w:trHeight w:val="332"/>
        </w:trPr>
        <w:tc>
          <w:tcPr>
            <w:tcW w:w="9639" w:type="dxa"/>
            <w:gridSpan w:val="3"/>
            <w:shd w:val="clear" w:color="auto" w:fill="auto"/>
          </w:tcPr>
          <w:p w:rsidR="00451E33" w:rsidRDefault="005337D5" w:rsidP="00D7632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По дисциплине Организация и осуществление профессиональной подготовки в области машиностроения проводится промежуточная аттестация в форме экзамена.</w:t>
            </w:r>
            <w:r w:rsidR="00451E33" w:rsidRPr="001C546D">
              <w:rPr>
                <w:rFonts w:ascii="Times New Roman" w:eastAsia="Calibri" w:hAnsi="Times New Roman" w:cs="Times New Roman"/>
                <w:color w:val="FF0000"/>
                <w:sz w:val="28"/>
                <w:szCs w:val="28"/>
                <w:vertAlign w:val="superscript"/>
              </w:rPr>
              <w:t xml:space="preserve"> </w:t>
            </w:r>
            <w:r w:rsidR="00451E33" w:rsidRPr="00460EF5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  <w:p w:rsidR="00312F92" w:rsidRPr="0083440E" w:rsidRDefault="005337D5" w:rsidP="00451E33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ko-KR"/>
              </w:rPr>
              <w:t>Экзаменационный билет по дисциплине Организация и осуществление профессиональной подготовки в области машиностроения включает в себя 3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- 30 баллов, за второй вопрос - 30 баллов, за третий вопрос - 40 баллов.</w:t>
            </w:r>
          </w:p>
        </w:tc>
      </w:tr>
    </w:tbl>
    <w:p w:rsidR="00F02BBD" w:rsidRDefault="00F02BBD" w:rsidP="00F02B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'отлично', 'хорошо', 'удовлетворительно', или 'неудовлетворительно'.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'отлично' (91-100 баллов) выставляется обучающемуся, если: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 (для студентов очной формы обучения);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(решение);'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 Компетенция сформирована на высоком уровне.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'хорошо' (76-90 баллов) выставляется обучающемуся, если: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'удовлетворительно' (61-75 баллов) выставляется обучающемуся, если: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Оценка 'неудовлетворительно' (менее 61 балла) выставляется обучающемуся, если: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5337D5" w:rsidRDefault="005337D5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:rsidR="00F02BBD" w:rsidRPr="00FA00CB" w:rsidRDefault="00F02BBD" w:rsidP="00F02BB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37D5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9D6376">
        <w:rPr>
          <w:rFonts w:ascii="Times New Roman" w:eastAsia="Times New Roman" w:hAnsi="Times New Roman" w:cs="Times New Roman"/>
          <w:b/>
          <w:sz w:val="28"/>
          <w:szCs w:val="28"/>
        </w:rPr>
        <w:t xml:space="preserve">3.1 </w:t>
      </w:r>
      <w:r w:rsidR="005337D5">
        <w:rPr>
          <w:rFonts w:ascii="Times New Roman" w:eastAsia="Times New Roman" w:hAnsi="Times New Roman" w:cs="Times New Roman"/>
          <w:noProof/>
          <w:sz w:val="28"/>
          <w:szCs w:val="28"/>
        </w:rPr>
        <w:t>Выполнение практической работы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При выполнении практических работ каждому обучающемуся необходимо выполнить свой вариант задания, содержащегося в методических указаниях к практическим работам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В ходе практических занятий обучающимся применяется следующая последовательность: преподаватель дает пояснения выполнения каждого этапа работы с выполнением поясняющих эскизов и схем на доске. Затем обучающиеся выполняют этот этап применительно к своему индивидуальному заданию.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Критерии оценки практической работы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10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9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8 баллов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7 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6 баллов 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5 баллов 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 результатам выполнения практической работы 4 и менее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:rsidR="00F02BBD" w:rsidRDefault="00F02BB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713A" w:rsidRDefault="0002713A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Наименования тем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1"/>
        <w:gridCol w:w="4961"/>
      </w:tblGrid>
      <w:tr w:rsidR="005337D5" w:rsidTr="005337D5"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темы практической работы</w:t>
            </w:r>
          </w:p>
        </w:tc>
      </w:tr>
      <w:tr w:rsidR="005337D5" w:rsidTr="005337D5"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Дополнительные профессиональные программы:</w:t>
            </w:r>
          </w:p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повышения квалификации</w:t>
            </w:r>
          </w:p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 профессиональной переподготовк</w:t>
            </w:r>
          </w:p>
        </w:tc>
      </w:tr>
      <w:tr w:rsidR="005337D5" w:rsidTr="005337D5"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нормативных документо</w:t>
            </w:r>
          </w:p>
        </w:tc>
      </w:tr>
      <w:tr w:rsidR="005337D5" w:rsidTr="005337D5"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Требования к содержанию дополнительных профессиональных программ</w:t>
            </w:r>
          </w:p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Профессиональные стандарты, квалификационные требовани</w:t>
            </w:r>
          </w:p>
        </w:tc>
      </w:tr>
      <w:tr w:rsidR="005337D5" w:rsidTr="005337D5"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4961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Национальный реестр профессиональных стандартов Htpp://profstandart.rosmintrud.r</w:t>
            </w:r>
          </w:p>
        </w:tc>
      </w:tr>
    </w:tbl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Критерии оценки практических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7"/>
        <w:gridCol w:w="3307"/>
        <w:gridCol w:w="3308"/>
      </w:tblGrid>
      <w:tr w:rsidR="005337D5" w:rsidTr="005337D5"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Критерий</w:t>
            </w:r>
          </w:p>
        </w:tc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3308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Максимальное количество баллов</w:t>
            </w:r>
          </w:p>
        </w:tc>
      </w:tr>
      <w:tr w:rsidR="005337D5" w:rsidTr="005337D5"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Выполнение практической работы</w:t>
            </w:r>
          </w:p>
        </w:tc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освоение типовой методики проведения практической работы, с использованием необходимого оборудования</w:t>
            </w:r>
          </w:p>
        </w:tc>
        <w:tc>
          <w:tcPr>
            <w:tcW w:w="3308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5337D5" w:rsidTr="005337D5"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Подготовка отчета по практической работе</w:t>
            </w:r>
          </w:p>
        </w:tc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краткое теоретическое описание задачи, включающее, описание компоновки и принципа работы оборудования; схемы работы оборудования - наглядность представления полученных результатов (табличное, графическое, аналитическое); - логичность, обоснованность сделанных в работе выводов</w:t>
            </w:r>
          </w:p>
        </w:tc>
        <w:tc>
          <w:tcPr>
            <w:tcW w:w="3308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37D5" w:rsidTr="005337D5"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Защита практической работы </w:t>
            </w:r>
          </w:p>
        </w:tc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правильность и полнота ответов, их обоснованность - анализ недостатков и достоинств использованного метода решения задачи</w:t>
            </w:r>
          </w:p>
        </w:tc>
        <w:tc>
          <w:tcPr>
            <w:tcW w:w="3308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337D5" w:rsidTr="005337D5"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Соблюдение требований по оформлению отчета </w:t>
            </w:r>
          </w:p>
        </w:tc>
        <w:tc>
          <w:tcPr>
            <w:tcW w:w="3307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правильное оформление текста отчета, грамотность и культура изложения; - правильность оформления графического материала с указанием единиц измерения величин</w:t>
            </w:r>
          </w:p>
        </w:tc>
        <w:tc>
          <w:tcPr>
            <w:tcW w:w="3308" w:type="dxa"/>
            <w:shd w:val="clear" w:color="auto" w:fill="auto"/>
          </w:tcPr>
          <w:p w:rsidR="005337D5" w:rsidRDefault="005337D5" w:rsidP="00542B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0.5</w:t>
            </w:r>
          </w:p>
        </w:tc>
      </w:tr>
    </w:tbl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37D5" w:rsidRDefault="005337D5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C5D" w:rsidRDefault="00E70C5D" w:rsidP="00542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440E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F02BBD" w:rsidRPr="00791D24" w:rsidRDefault="00F02BBD" w:rsidP="00F02BBD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Контрольная работа включает три задания: теоретический вопрос и два практических задания. Вариант задания для выполнения контрольной работы выбирается</w:t>
      </w:r>
      <w:r w:rsidRPr="00791D24">
        <w:rPr>
          <w:rFonts w:ascii="Times New Roman" w:hAnsi="Times New Roman" w:cs="Times New Roman"/>
          <w:bCs/>
          <w:iCs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 соответствии с номером студента в списке группы.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Первое задание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 –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Второе задание –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выполнить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…. </w:t>
      </w:r>
    </w:p>
    <w:p w:rsidR="00F02BBD" w:rsidRPr="00791D24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791D24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Третье задание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- </w:t>
      </w:r>
      <w:r w:rsidRPr="00791D24">
        <w:rPr>
          <w:rFonts w:ascii="Times New Roman" w:hAnsi="Times New Roman" w:cs="Times New Roman"/>
          <w:i/>
          <w:color w:val="FF0000"/>
          <w:sz w:val="28"/>
          <w:szCs w:val="28"/>
          <w:lang w:eastAsia="ru-RU"/>
        </w:rPr>
        <w:t xml:space="preserve">разработать </w:t>
      </w:r>
      <w:r w:rsidRPr="00791D24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….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контрольной работе проводится устный опрос (зачет контрольной работы), после которого студент приступает к сдаче зачета/экзамена по дисциплине.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Default="00F02BBD" w:rsidP="00F02BBD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Определение понятия Дополнительное профессиональное образование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Требования к содержанию дополнительных профессиональных программ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Профессиональные стандарты, квалификационные требования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Формы обучения и сроки освоения дополнительных профессиональных программ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Роль работодателей в разработке программ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Национальный реестр профессиональных стандартов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ЕДИНЫЙ КВАЛИФИКАЦИОННЫЙ СПРАВОЧНИКДОЛЖНОСТЕЙ РУКОВОДИТЕЛЕЙ, СПЕЦИАЛИСТОВ И СЛУЖАЩИХ .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Документ об образовании и о квалификации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Общественная аккредитация организаций, осуществляющих образовательную деятельность.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Профессионально-общественная аккредитация образовательных программ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Особенности реализации некоторых дополнительных образовательных программ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Порядок разработки дополнительных профессиональных программ, содержащих сведения, составляющие государственную тайну, и дополнительных профессиональных программ в области информационной безопасности устанавливается Минобрнауки России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Делопроизводство при реализации программы ДПП :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1.Образовательная программа ДПП, утвержденная ученым советом учреждения;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2.Договор об оказании платных образовательных услуг;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3.Приказ о зачислении слушателей;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4.Расписание, утвержденное руководителем структурного подразделения;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5.Журнал (ведомость) учета посещаемости занятий;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6. Документация по итоговой аттестации слушателей (Приказ об утверждении Председателя итоговой аттестации и членов комиссии, Протоколы итоговой аттестации, фонд оценочных средств для проведения итоговой аттестации и т.д);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7. Приказ об отчислении слушателя;</w:t>
      </w:r>
    </w:p>
    <w:p w:rsidR="005337D5" w:rsidRDefault="005337D5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8. Документ о полученном ДПО.</w:t>
      </w:r>
    </w:p>
    <w:p w:rsidR="00AD6BDC" w:rsidRPr="00AD6BDC" w:rsidRDefault="00AD6BDC" w:rsidP="00AE783C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072" w:type="dxa"/>
        <w:tblInd w:w="562" w:type="dxa"/>
        <w:tblLook w:val="04A0" w:firstRow="1" w:lastRow="0" w:firstColumn="1" w:lastColumn="0" w:noHBand="0" w:noVBand="1"/>
      </w:tblPr>
      <w:tblGrid>
        <w:gridCol w:w="1843"/>
        <w:gridCol w:w="5528"/>
        <w:gridCol w:w="1701"/>
      </w:tblGrid>
      <w:tr w:rsidR="00F02BBD" w:rsidRPr="0083440E" w:rsidTr="008C1C17">
        <w:trPr>
          <w:trHeight w:val="495"/>
        </w:trPr>
        <w:tc>
          <w:tcPr>
            <w:tcW w:w="1843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701" w:type="dxa"/>
          </w:tcPr>
          <w:p w:rsidR="00F02BBD" w:rsidRPr="0083440E" w:rsidRDefault="00F02BBD" w:rsidP="0038283C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3440E">
              <w:rPr>
                <w:rFonts w:ascii="Times New Roman" w:eastAsia="Calibri" w:hAnsi="Times New Roman" w:cs="Times New Roman"/>
              </w:rPr>
              <w:t>Максимальное колич. баллов</w:t>
            </w:r>
          </w:p>
        </w:tc>
      </w:tr>
      <w:tr w:rsidR="00F02BBD" w:rsidRPr="0083440E" w:rsidTr="008C1C17">
        <w:tc>
          <w:tcPr>
            <w:tcW w:w="1843" w:type="dxa"/>
          </w:tcPr>
          <w:p w:rsidR="00F02BBD" w:rsidRPr="0083440E" w:rsidRDefault="00F02BBD" w:rsidP="008C1C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701" w:type="dxa"/>
          </w:tcPr>
          <w:p w:rsidR="00F02BBD" w:rsidRPr="0083440E" w:rsidRDefault="008C1C17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F02BBD" w:rsidRPr="0083440E" w:rsidTr="008C1C17">
        <w:tc>
          <w:tcPr>
            <w:tcW w:w="1843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528" w:type="dxa"/>
          </w:tcPr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:rsidR="00F02BBD" w:rsidRPr="0083440E" w:rsidRDefault="00F02BBD" w:rsidP="0038283C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440E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701" w:type="dxa"/>
          </w:tcPr>
          <w:p w:rsidR="00F02BBD" w:rsidRPr="0083440E" w:rsidRDefault="0038283C" w:rsidP="0038283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Тестовые задания</w:t>
      </w:r>
    </w:p>
    <w:p w:rsidR="007B32C5" w:rsidRDefault="007B32C5" w:rsidP="007B32C5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1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изучения дисциплины в обязательном порядке проводится диагностическое дисциплинарное тестирование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B32C5" w:rsidRDefault="007B32C5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Pr="00715E90">
        <w:rPr>
          <w:rFonts w:ascii="Times New Roman" w:eastAsia="Times New Roman" w:hAnsi="Times New Roman" w:cs="Times New Roman"/>
          <w:sz w:val="28"/>
          <w:szCs w:val="28"/>
          <w:lang w:eastAsia="ko-KR"/>
        </w:rPr>
        <w:t>Организация и осуществление профессиональной подготовки в области машиностроения</w:t>
      </w:r>
      <w:r w:rsidRPr="00715E9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»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>.</w:t>
      </w:r>
    </w:p>
    <w:p w:rsidR="00F02BBD" w:rsidRDefault="00F02BBD" w:rsidP="0038283C">
      <w:pPr>
        <w:spacing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Комплект тестовых заданий по дисциплине в полном объеме размещен 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в 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приложении к Рабочей программе дисциплины.</w:t>
      </w:r>
    </w:p>
    <w:p w:rsidR="00F02BBD" w:rsidRPr="002279C5" w:rsidRDefault="00F02BBD" w:rsidP="00F02BB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02B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79C5">
        <w:rPr>
          <w:rFonts w:ascii="Times New Roman" w:hAnsi="Times New Roman" w:cs="Times New Roman"/>
          <w:b/>
          <w:sz w:val="24"/>
          <w:szCs w:val="24"/>
        </w:rPr>
        <w:tab/>
      </w:r>
      <w:r w:rsidRPr="002279C5">
        <w:rPr>
          <w:rFonts w:ascii="Times New Roman" w:hAnsi="Times New Roman" w:cs="Times New Roman"/>
          <w:b/>
          <w:sz w:val="28"/>
          <w:szCs w:val="28"/>
        </w:rPr>
        <w:t>Критерии оценки тестовых заданий</w:t>
      </w:r>
    </w:p>
    <w:p w:rsidR="00F02BBD" w:rsidRPr="002279C5" w:rsidRDefault="00F02BBD" w:rsidP="00F02BB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79C5">
        <w:rPr>
          <w:rFonts w:ascii="Times New Roman" w:hAnsi="Times New Roman" w:cs="Times New Roman"/>
          <w:b/>
          <w:sz w:val="28"/>
          <w:szCs w:val="28"/>
        </w:rPr>
        <w:tab/>
      </w:r>
      <w:r w:rsidRPr="002279C5">
        <w:rPr>
          <w:rFonts w:ascii="Times New Roman" w:hAnsi="Times New Roman" w:cs="Times New Roman"/>
          <w:sz w:val="28"/>
          <w:szCs w:val="28"/>
        </w:rPr>
        <w:t xml:space="preserve">Диагностический дисциплинарный тест состоит из 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70</w:t>
      </w:r>
      <w:r w:rsidR="008D64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заданий</w:t>
      </w: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которые проверяют уровень освоения компетенций обучающегося.</w:t>
      </w:r>
      <w:r w:rsidRPr="002279C5">
        <w:rPr>
          <w:rFonts w:ascii="Times New Roman" w:hAnsi="Times New Roman" w:cs="Times New Roman"/>
          <w:sz w:val="28"/>
          <w:szCs w:val="28"/>
        </w:rPr>
        <w:t xml:space="preserve"> В каждом тематическом блоке (контрольной точке) по </w:t>
      </w:r>
      <w:r w:rsidR="009C2C19">
        <w:rPr>
          <w:rFonts w:ascii="Times New Roman" w:hAnsi="Times New Roman" w:cs="Times New Roman"/>
          <w:sz w:val="28"/>
          <w:szCs w:val="28"/>
        </w:rPr>
        <w:t>35</w:t>
      </w:r>
      <w:r w:rsidRPr="002279C5">
        <w:rPr>
          <w:rFonts w:ascii="Times New Roman" w:hAnsi="Times New Roman" w:cs="Times New Roman"/>
          <w:sz w:val="28"/>
          <w:szCs w:val="28"/>
        </w:rPr>
        <w:t xml:space="preserve"> тестовых заданий.</w:t>
      </w:r>
    </w:p>
    <w:p w:rsidR="00F02BBD" w:rsidRPr="002279C5" w:rsidRDefault="00F02BBD" w:rsidP="00F02BBD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79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Максимальная общая сумма баллов за все правильные ответы составляет – 100 баллов – для диагностического дисциплинарного тестирования и по 50 баллов – для каждого из двух тематических блоков. 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Тест успешно пройден, если обучающийся правильно ответил на 70% тестовых заданий (61 балл).</w:t>
      </w:r>
    </w:p>
    <w:p w:rsidR="00F02BBD" w:rsidRPr="002279C5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 прохождение тестирования, включая организационный момент, обучающимся отводится не более 40 минут. На каждое тестовое задание в среднем по 1 минуте.</w:t>
      </w:r>
    </w:p>
    <w:p w:rsidR="00F02BBD" w:rsidRPr="004C7B7D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279C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Обучающемуся предоставляется одна попытка для прохождения компьютерного тестирования.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542B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Устный опрос </w:t>
      </w:r>
    </w:p>
    <w:p w:rsidR="00F02BBD" w:rsidRPr="0083440E" w:rsidRDefault="00F02BBD" w:rsidP="00F02BBD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Ниже приведены примеры вопросов для самоконтроля.</w:t>
      </w:r>
    </w:p>
    <w:p w:rsidR="00F02BBD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:rsidR="005337D5" w:rsidRDefault="005337D5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2.  ограммы профессиональной переподготовки</w:t>
      </w:r>
    </w:p>
    <w:p w:rsidR="005337D5" w:rsidRDefault="005337D5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3.  полнительные профессиональные программы:</w:t>
      </w:r>
    </w:p>
    <w:p w:rsidR="005337D5" w:rsidRDefault="005337D5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4.  разовательные программы</w:t>
      </w:r>
    </w:p>
    <w:p w:rsidR="005337D5" w:rsidRDefault="005337D5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5.  руктура системы образования: ДО детей и взрослых, ДПО</w:t>
      </w:r>
    </w:p>
    <w:p w:rsidR="003A3F5E" w:rsidRPr="0083440E" w:rsidRDefault="003A3F5E" w:rsidP="00E420C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5011" w:rsidRPr="005951D2" w:rsidRDefault="00E55011" w:rsidP="00E5501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Критерии оценки устного опроса</w:t>
      </w:r>
    </w:p>
    <w:p w:rsidR="00E55011" w:rsidRPr="005951D2" w:rsidRDefault="00E55011" w:rsidP="00E5501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D2">
        <w:rPr>
          <w:rFonts w:ascii="Times New Roman" w:hAnsi="Times New Roman" w:cs="Times New Roman"/>
          <w:b/>
          <w:sz w:val="28"/>
          <w:szCs w:val="28"/>
        </w:rPr>
        <w:t>(вопросов для самоконтроля)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Устный ответ студента по дисциплине оценивается максимум в 5 баллов (при оценке текущей успеваемости).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ответа </w:t>
      </w:r>
      <w:r w:rsidRPr="00B5003E">
        <w:rPr>
          <w:rFonts w:ascii="Times New Roman" w:hAnsi="Times New Roman" w:cs="Times New Roman"/>
          <w:sz w:val="28"/>
          <w:szCs w:val="28"/>
        </w:rPr>
        <w:t>5 баллов выставляется студенту,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4 балла выставляется студенту,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E55011" w:rsidRPr="00B5003E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3 балла выставляется студенту,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003E">
        <w:rPr>
          <w:rFonts w:ascii="Times New Roman" w:hAnsi="Times New Roman" w:cs="Times New Roman"/>
          <w:sz w:val="28"/>
          <w:szCs w:val="28"/>
        </w:rPr>
        <w:t>По результатам ответа 2 балла выставляется студенту, если содержание ответа соответствует освещаемому</w:t>
      </w:r>
      <w:r w:rsidRPr="005951D2">
        <w:rPr>
          <w:rFonts w:ascii="Times New Roman" w:hAnsi="Times New Roman" w:cs="Times New Roman"/>
          <w:sz w:val="28"/>
          <w:szCs w:val="28"/>
        </w:rPr>
        <w:t xml:space="preserve">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Pr="00B5003E">
        <w:rPr>
          <w:rFonts w:ascii="Times New Roman" w:hAnsi="Times New Roman" w:cs="Times New Roman"/>
          <w:sz w:val="28"/>
          <w:szCs w:val="28"/>
        </w:rPr>
        <w:t>ответа 1 балл выставляется студенту, если содержание ответа соответствует освещаемому вопросу</w:t>
      </w:r>
      <w:r w:rsidRPr="005951D2">
        <w:rPr>
          <w:rFonts w:ascii="Times New Roman" w:hAnsi="Times New Roman" w:cs="Times New Roman"/>
          <w:sz w:val="28"/>
          <w:szCs w:val="28"/>
        </w:rPr>
        <w:t>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E55011" w:rsidRPr="005951D2" w:rsidRDefault="00E55011" w:rsidP="00E5501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951D2">
        <w:rPr>
          <w:rFonts w:ascii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3A3F5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 Типовые материалы для экзамена (зачета)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экзаменационного (зачетного) билета</w:t>
      </w:r>
    </w:p>
    <w:p w:rsidR="00F02BBD" w:rsidRPr="0083440E" w:rsidRDefault="00F02BBD" w:rsidP="00F02BBD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>Для оценки компетенций обучающихся на промежуточной аттестации по данной дисциплине, применяются вопросы к экзамену</w:t>
      </w: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(зачету)</w:t>
      </w:r>
      <w:r w:rsidRPr="0083440E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  <w:r w:rsidRPr="0083440E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:rsidR="00F02BBD" w:rsidRDefault="00F02BBD" w:rsidP="006131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3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к экзамену (зачету):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История становления ДПО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Нормативно-правовые основы реализации дополнительного профессионального образования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Государственное нормативно-правовое обеспечение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Нормативное правовое обеспечение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Федеральный закон от 09. 12.2012No273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Порядок осуществления и организации образовательной деятельности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Локальное нормативно-правовое обеспечение- локальные акты организации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Договор об оказании платных образовательных услуг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Применение электронного обучения, дистанционных образовательных технологий при реализации образовательных программ.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Правила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Сущность и характеристика понятия -дополнительное образование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Структура системы образования: ДО детей и взрослых, ДПО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Образовательные программы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Дополнительные общеобразовательные программы: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дополнительные общеразвивающие программы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дополнительные предпрофессиональные программы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Дополнительные профессиональные программы: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программы повышения квалификации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программы профессиональной переподготовки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Порядок разработки и утверждения образовательных программ ДПО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Общие требования к реализации образовательных программ</w:t>
      </w:r>
    </w:p>
    <w:p w:rsidR="005337D5" w:rsidRDefault="005337D5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6131CF" w:rsidRDefault="006131CF" w:rsidP="00E420C6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экзаменационного (зачетного) билета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экзаменационного (зачетного)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 w:rsidR="00C970F5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C970F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балл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F02BBD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4.2 Практические задания на экзамен (зачет)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Вопросы к экзамену (зачету) </w:t>
      </w:r>
      <w:r w:rsidRPr="0083440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2 и 3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представляют собой практические задания.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Задание для экзамена (зачета) -вопрос 2 экзаменационного билета </w:t>
      </w:r>
      <w:r w:rsidRPr="00C970F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представляет собой</w:t>
      </w:r>
      <w:r w:rsidRPr="00C970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02BBD" w:rsidRPr="00DA4A21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DA4A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Выполнить….   </w:t>
      </w:r>
    </w:p>
    <w:p w:rsidR="00F02BBD" w:rsidRPr="0083440E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для экзамена (зачета) -вопрос 3 экзаменационного (зачетного) билета</w:t>
      </w:r>
      <w:r w:rsidRPr="0083440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r w:rsidRPr="00C970F5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представляет собой</w:t>
      </w:r>
      <w:r w:rsidRPr="00C970F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…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Например:</w:t>
      </w:r>
    </w:p>
    <w:p w:rsidR="00F02BBD" w:rsidRPr="00DA4A21" w:rsidRDefault="00F02BBD" w:rsidP="00F02BBD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DA4A2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Разработать …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экзамену (зачету) 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40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:rsidR="00F02BBD" w:rsidRPr="0083440E" w:rsidRDefault="00F02BBD" w:rsidP="00F02BB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задания </w:t>
      </w:r>
      <w:r w:rsidR="00A25A18" w:rsidRPr="00A25A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A25A18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83440E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:rsidR="00F02BBD" w:rsidRPr="0083440E" w:rsidRDefault="00F02BBD" w:rsidP="00F02B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8344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834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A25A1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83440E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:rsidR="00F02BBD" w:rsidRPr="0083440E" w:rsidRDefault="00F02BBD" w:rsidP="00F02BBD">
      <w:pPr>
        <w:suppressAutoHyphens/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F02BBD" w:rsidRPr="0083440E" w:rsidRDefault="00F02BBD" w:rsidP="00F02BBD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 экзаменационного билета по дисциплине.</w:t>
      </w:r>
    </w:p>
    <w:p w:rsidR="00F02BBD" w:rsidRPr="0083440E" w:rsidRDefault="00F02BBD" w:rsidP="00F02BBD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/>
          <w:sz w:val="28"/>
          <w:lang w:val="en-US" w:eastAsia="ru-RU"/>
        </w:rPr>
      </w:pPr>
      <w:r w:rsidRPr="0083440E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6999E888" wp14:editId="507AA988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BBD" w:rsidRPr="0083440E" w:rsidRDefault="00F02BBD" w:rsidP="00F02BBD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МИНИСТЕРСТВО НАУКИ И ВЫСШЕГО ОБРАЗОВАНИЯ РОССИЙСКОЙ ФЕДЕРАЦИИ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ФЕДЕРАЛЬНОЕ ГОСУДАРСТВЕННОЕ БЮДЖЕТНОЕ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ОБРАЗОВАТЕЛЬНОЕ УЧРЕЖДЕНИЕ ВЫСШЕГО ОБРАЗОВАНИЯ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«ДОНСКОЙ ГОСУДАРСТВЕННЫЙ ТЕХНИЧЕСКИЙ УНИВЕРСИТЕТ»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>(ДГТУ)</w:t>
      </w: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Факультет </w:t>
      </w:r>
      <w:r w:rsidR="00470D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Энергетика и нефтегазопромышленность</w:t>
      </w:r>
    </w:p>
    <w:p w:rsidR="003E5B02" w:rsidRPr="0083440E" w:rsidRDefault="00470DC3" w:rsidP="003E5B02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Кафедра  </w:t>
      </w:r>
      <w:r w:rsidR="005337D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Машины и оборудование нефтегазового  комплекса</w:t>
      </w:r>
    </w:p>
    <w:p w:rsidR="00470DC3" w:rsidRPr="0083440E" w:rsidRDefault="00470DC3" w:rsidP="00F02BBD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F02BBD" w:rsidRPr="0083440E" w:rsidRDefault="00F02BBD" w:rsidP="00F02BBD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ЭКЗАМЕНАЦИОННЫЙ  БИЛЕТ  № 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</w:t>
      </w:r>
      <w:r w:rsidR="00E5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/20</w:t>
      </w:r>
      <w:r w:rsidR="00E550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учебный год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«</w:t>
      </w:r>
      <w:r w:rsidR="005337D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Организация и осуществление профессиональной подготовки в области машиностроения</w:t>
      </w: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F02BBD" w:rsidRPr="0083440E" w:rsidRDefault="00F02BBD" w:rsidP="00F02BBD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/>
          <w:w w:val="95"/>
          <w:sz w:val="28"/>
          <w:lang w:eastAsia="ru-RU"/>
        </w:rPr>
      </w:pPr>
    </w:p>
    <w:p w:rsidR="00F02BBD" w:rsidRDefault="00321865" w:rsidP="00321865">
      <w:pPr>
        <w:tabs>
          <w:tab w:val="left" w:pos="28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1 </w:t>
      </w:r>
      <w:r w:rsidR="005337D5">
        <w:rPr>
          <w:rFonts w:ascii="Times New Roman" w:eastAsia="Times New Roman" w:hAnsi="Times New Roman" w:cs="Times New Roman"/>
          <w:noProof/>
          <w:color w:val="000000"/>
          <w:lang w:eastAsia="ru-RU"/>
        </w:rPr>
        <w:t>орядок осуществления и организации образовательной деятельности</w:t>
      </w:r>
    </w:p>
    <w:p w:rsidR="00321865" w:rsidRPr="0083440E" w:rsidRDefault="00321865" w:rsidP="00321865">
      <w:pPr>
        <w:tabs>
          <w:tab w:val="left" w:pos="28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2 </w:t>
      </w:r>
      <w:r w:rsidR="005337D5">
        <w:rPr>
          <w:rFonts w:ascii="Times New Roman" w:eastAsia="Times New Roman" w:hAnsi="Times New Roman" w:cs="Times New Roman"/>
          <w:noProof/>
          <w:color w:val="000000"/>
          <w:lang w:eastAsia="ru-RU"/>
        </w:rPr>
        <w:t>ущность и характеристика понятия -дополнительное образование</w:t>
      </w:r>
    </w:p>
    <w:p w:rsidR="00F02BBD" w:rsidRPr="00321865" w:rsidRDefault="00321865" w:rsidP="00321865">
      <w:pPr>
        <w:tabs>
          <w:tab w:val="left" w:pos="284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3 </w:t>
      </w:r>
      <w:r w:rsidRPr="00321865">
        <w:rPr>
          <w:rFonts w:ascii="Times New Roman" w:eastAsia="Times New Roman" w:hAnsi="Times New Roman" w:cs="Times New Roman"/>
          <w:color w:val="000000"/>
          <w:lang w:eastAsia="ru-RU"/>
        </w:rPr>
        <w:t>Практическое задание №5</w:t>
      </w:r>
    </w:p>
    <w:p w:rsidR="00F02BBD" w:rsidRPr="0083440E" w:rsidRDefault="00F02BBD" w:rsidP="00F02BBD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АКТУАЛЬНО   НА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</w:t>
      </w:r>
      <w:r w:rsidR="003A1B5B">
        <w:rPr>
          <w:rFonts w:ascii="Times New Roman" w:eastAsia="Times New Roman" w:hAnsi="Times New Roman" w:cs="Times New Roman"/>
          <w:color w:val="000000"/>
          <w:lang w:eastAsia="ru-RU"/>
        </w:rPr>
        <w:t>__</w:t>
      </w: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/20</w:t>
      </w:r>
      <w:r w:rsidR="003A1B5B">
        <w:rPr>
          <w:rFonts w:ascii="Times New Roman" w:eastAsia="Times New Roman" w:hAnsi="Times New Roman" w:cs="Times New Roman"/>
          <w:color w:val="000000"/>
          <w:lang w:eastAsia="ru-RU"/>
        </w:rPr>
        <w:t xml:space="preserve">__ </w:t>
      </w: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уч. год   _________   ____________              20__/20__уч. год  ________    __________ 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lang w:eastAsia="ru-RU"/>
        </w:rPr>
        <w:t>20__/20__уч. год   _________   ____________              20__/20__уч. год  ________    ____________</w:t>
      </w:r>
    </w:p>
    <w:p w:rsidR="00F02BBD" w:rsidRPr="0083440E" w:rsidRDefault="00F02BBD" w:rsidP="00F02BBD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</w:pPr>
      <w:r w:rsidRPr="0083440E">
        <w:rPr>
          <w:rFonts w:ascii="Times New Roman" w:eastAsia="Times New Roman" w:hAnsi="Times New Roman" w:cs="Times New Roman"/>
          <w:color w:val="000000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:rsidR="00EB354D" w:rsidRDefault="00EB354D" w:rsidP="00F02BBD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1789" w:rsidRDefault="00F02BBD" w:rsidP="00EB354D">
      <w:pPr>
        <w:spacing w:after="29" w:line="24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</w:t>
      </w:r>
      <w:r w:rsidR="00EB354D"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r w:rsidRPr="00EB35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заканчивается выставлением отметок по принятой пятибалльной шкале</w:t>
      </w:r>
      <w:r w:rsidR="00D90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bookmarkEnd w:id="0"/>
    <w:p w:rsidR="00D90CBD" w:rsidRDefault="00D90CBD" w:rsidP="00EB354D">
      <w:pPr>
        <w:spacing w:after="29" w:line="240" w:lineRule="auto"/>
        <w:ind w:right="356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D90CBD" w:rsidSect="003C2B05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7FC" w:rsidRDefault="008147FC" w:rsidP="0083440E">
      <w:pPr>
        <w:spacing w:after="0" w:line="240" w:lineRule="auto"/>
      </w:pPr>
      <w:r>
        <w:separator/>
      </w:r>
    </w:p>
  </w:endnote>
  <w:endnote w:type="continuationSeparator" w:id="0">
    <w:p w:rsidR="008147FC" w:rsidRDefault="008147FC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7FC" w:rsidRDefault="008147FC" w:rsidP="0083440E">
      <w:pPr>
        <w:spacing w:after="0" w:line="240" w:lineRule="auto"/>
      </w:pPr>
      <w:r>
        <w:separator/>
      </w:r>
    </w:p>
  </w:footnote>
  <w:footnote w:type="continuationSeparator" w:id="0">
    <w:p w:rsidR="008147FC" w:rsidRDefault="008147FC" w:rsidP="0083440E">
      <w:pPr>
        <w:spacing w:after="0" w:line="240" w:lineRule="auto"/>
      </w:pPr>
      <w:r>
        <w:continuationSeparator/>
      </w:r>
    </w:p>
  </w:footnote>
  <w:footnote w:id="1">
    <w:p w:rsidR="00451E33" w:rsidRPr="00053E6C" w:rsidRDefault="00451E33" w:rsidP="00451E33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D0A51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 w15:restartNumberingAfterBreak="0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 w15:restartNumberingAfterBreak="0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E6C22"/>
    <w:multiLevelType w:val="hybridMultilevel"/>
    <w:tmpl w:val="42FAC19E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 w15:restartNumberingAfterBreak="0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E4982"/>
    <w:multiLevelType w:val="hybridMultilevel"/>
    <w:tmpl w:val="51463A96"/>
    <w:lvl w:ilvl="0" w:tplc="DD2EB18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97C3F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26" w15:restartNumberingAfterBreak="0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BC23770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774390"/>
    <w:multiLevelType w:val="hybridMultilevel"/>
    <w:tmpl w:val="D1F66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5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8"/>
  </w:num>
  <w:num w:numId="10">
    <w:abstractNumId w:val="30"/>
  </w:num>
  <w:num w:numId="11">
    <w:abstractNumId w:val="28"/>
  </w:num>
  <w:num w:numId="12">
    <w:abstractNumId w:val="19"/>
  </w:num>
  <w:num w:numId="13">
    <w:abstractNumId w:val="11"/>
  </w:num>
  <w:num w:numId="14">
    <w:abstractNumId w:val="26"/>
  </w:num>
  <w:num w:numId="15">
    <w:abstractNumId w:val="2"/>
  </w:num>
  <w:num w:numId="16">
    <w:abstractNumId w:val="16"/>
  </w:num>
  <w:num w:numId="17">
    <w:abstractNumId w:val="18"/>
  </w:num>
  <w:num w:numId="18">
    <w:abstractNumId w:val="14"/>
  </w:num>
  <w:num w:numId="19">
    <w:abstractNumId w:val="6"/>
  </w:num>
  <w:num w:numId="20">
    <w:abstractNumId w:val="1"/>
  </w:num>
  <w:num w:numId="21">
    <w:abstractNumId w:val="4"/>
  </w:num>
  <w:num w:numId="22">
    <w:abstractNumId w:val="3"/>
  </w:num>
  <w:num w:numId="23">
    <w:abstractNumId w:val="34"/>
  </w:num>
  <w:num w:numId="24">
    <w:abstractNumId w:val="15"/>
  </w:num>
  <w:num w:numId="25">
    <w:abstractNumId w:val="27"/>
  </w:num>
  <w:num w:numId="26">
    <w:abstractNumId w:val="21"/>
  </w:num>
  <w:num w:numId="27">
    <w:abstractNumId w:val="13"/>
  </w:num>
  <w:num w:numId="28">
    <w:abstractNumId w:val="32"/>
  </w:num>
  <w:num w:numId="29">
    <w:abstractNumId w:val="36"/>
  </w:num>
  <w:num w:numId="30">
    <w:abstractNumId w:val="20"/>
  </w:num>
  <w:num w:numId="31">
    <w:abstractNumId w:val="9"/>
  </w:num>
  <w:num w:numId="32">
    <w:abstractNumId w:val="29"/>
  </w:num>
  <w:num w:numId="33">
    <w:abstractNumId w:val="5"/>
  </w:num>
  <w:num w:numId="34">
    <w:abstractNumId w:val="31"/>
  </w:num>
  <w:num w:numId="35">
    <w:abstractNumId w:val="22"/>
  </w:num>
  <w:num w:numId="36">
    <w:abstractNumId w:val="17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A00"/>
    <w:rsid w:val="00000264"/>
    <w:rsid w:val="0000362F"/>
    <w:rsid w:val="0001752B"/>
    <w:rsid w:val="0002713A"/>
    <w:rsid w:val="00037665"/>
    <w:rsid w:val="0005521C"/>
    <w:rsid w:val="00064936"/>
    <w:rsid w:val="00064BCF"/>
    <w:rsid w:val="0006790D"/>
    <w:rsid w:val="00086650"/>
    <w:rsid w:val="00087476"/>
    <w:rsid w:val="000B20D1"/>
    <w:rsid w:val="000C28E5"/>
    <w:rsid w:val="000C3EB3"/>
    <w:rsid w:val="000C5F50"/>
    <w:rsid w:val="000C7184"/>
    <w:rsid w:val="000D6C7D"/>
    <w:rsid w:val="000D7183"/>
    <w:rsid w:val="000E0E5C"/>
    <w:rsid w:val="000E4D2F"/>
    <w:rsid w:val="000E6DB8"/>
    <w:rsid w:val="00111800"/>
    <w:rsid w:val="00122929"/>
    <w:rsid w:val="00124B2D"/>
    <w:rsid w:val="001330C9"/>
    <w:rsid w:val="00153ED6"/>
    <w:rsid w:val="00155F92"/>
    <w:rsid w:val="00156234"/>
    <w:rsid w:val="00164777"/>
    <w:rsid w:val="00182602"/>
    <w:rsid w:val="00187F58"/>
    <w:rsid w:val="00194EFD"/>
    <w:rsid w:val="001A1CDC"/>
    <w:rsid w:val="001B0D8B"/>
    <w:rsid w:val="001B78E0"/>
    <w:rsid w:val="001B792C"/>
    <w:rsid w:val="001C0A3D"/>
    <w:rsid w:val="001C546D"/>
    <w:rsid w:val="001C727B"/>
    <w:rsid w:val="001E0957"/>
    <w:rsid w:val="001E114B"/>
    <w:rsid w:val="001E589D"/>
    <w:rsid w:val="001E7D7E"/>
    <w:rsid w:val="001F31AF"/>
    <w:rsid w:val="001F3B1E"/>
    <w:rsid w:val="001F480B"/>
    <w:rsid w:val="00200BCC"/>
    <w:rsid w:val="00202367"/>
    <w:rsid w:val="0020466A"/>
    <w:rsid w:val="002075E8"/>
    <w:rsid w:val="00212A60"/>
    <w:rsid w:val="00220C4F"/>
    <w:rsid w:val="00225481"/>
    <w:rsid w:val="00233EDE"/>
    <w:rsid w:val="002433BB"/>
    <w:rsid w:val="0026163E"/>
    <w:rsid w:val="00275076"/>
    <w:rsid w:val="00275590"/>
    <w:rsid w:val="00293748"/>
    <w:rsid w:val="002954D0"/>
    <w:rsid w:val="002A3AB9"/>
    <w:rsid w:val="002A645D"/>
    <w:rsid w:val="002A7F6E"/>
    <w:rsid w:val="002B21B2"/>
    <w:rsid w:val="002D1719"/>
    <w:rsid w:val="002D28BC"/>
    <w:rsid w:val="002D5BB5"/>
    <w:rsid w:val="002E4B45"/>
    <w:rsid w:val="002E7895"/>
    <w:rsid w:val="002F1596"/>
    <w:rsid w:val="00300EE9"/>
    <w:rsid w:val="00303B61"/>
    <w:rsid w:val="00312F92"/>
    <w:rsid w:val="00321865"/>
    <w:rsid w:val="00326F5D"/>
    <w:rsid w:val="00334308"/>
    <w:rsid w:val="003345F0"/>
    <w:rsid w:val="003446E9"/>
    <w:rsid w:val="00345651"/>
    <w:rsid w:val="00345673"/>
    <w:rsid w:val="00362A09"/>
    <w:rsid w:val="00370D58"/>
    <w:rsid w:val="00370DA4"/>
    <w:rsid w:val="0038283C"/>
    <w:rsid w:val="003839F6"/>
    <w:rsid w:val="00394CD2"/>
    <w:rsid w:val="00396480"/>
    <w:rsid w:val="003A1B5B"/>
    <w:rsid w:val="003A3F5E"/>
    <w:rsid w:val="003B0A45"/>
    <w:rsid w:val="003B441A"/>
    <w:rsid w:val="003C1ED9"/>
    <w:rsid w:val="003C2B05"/>
    <w:rsid w:val="003D2974"/>
    <w:rsid w:val="003E20E6"/>
    <w:rsid w:val="003E5B02"/>
    <w:rsid w:val="003E7B84"/>
    <w:rsid w:val="003F0B8D"/>
    <w:rsid w:val="00400BDA"/>
    <w:rsid w:val="00403858"/>
    <w:rsid w:val="00405916"/>
    <w:rsid w:val="0041011E"/>
    <w:rsid w:val="004111CB"/>
    <w:rsid w:val="004117D8"/>
    <w:rsid w:val="00412146"/>
    <w:rsid w:val="004260D8"/>
    <w:rsid w:val="004332B8"/>
    <w:rsid w:val="00435137"/>
    <w:rsid w:val="0043556E"/>
    <w:rsid w:val="00447A57"/>
    <w:rsid w:val="00451E33"/>
    <w:rsid w:val="00460725"/>
    <w:rsid w:val="00460EF5"/>
    <w:rsid w:val="004613FA"/>
    <w:rsid w:val="00465F52"/>
    <w:rsid w:val="0046658E"/>
    <w:rsid w:val="00470DC3"/>
    <w:rsid w:val="00483FCB"/>
    <w:rsid w:val="004B6DFF"/>
    <w:rsid w:val="004B6E8D"/>
    <w:rsid w:val="004B7ACE"/>
    <w:rsid w:val="004C2A0A"/>
    <w:rsid w:val="004C54ED"/>
    <w:rsid w:val="004C7A5C"/>
    <w:rsid w:val="004C7B7D"/>
    <w:rsid w:val="004E15E1"/>
    <w:rsid w:val="004E2881"/>
    <w:rsid w:val="00504CA2"/>
    <w:rsid w:val="005059A2"/>
    <w:rsid w:val="00514166"/>
    <w:rsid w:val="0052573A"/>
    <w:rsid w:val="00525E24"/>
    <w:rsid w:val="005337D5"/>
    <w:rsid w:val="00541939"/>
    <w:rsid w:val="00541F9E"/>
    <w:rsid w:val="00542B81"/>
    <w:rsid w:val="005628A3"/>
    <w:rsid w:val="005662A9"/>
    <w:rsid w:val="00571EF3"/>
    <w:rsid w:val="00573A34"/>
    <w:rsid w:val="00576416"/>
    <w:rsid w:val="0058214B"/>
    <w:rsid w:val="005840DE"/>
    <w:rsid w:val="005849D7"/>
    <w:rsid w:val="005951D2"/>
    <w:rsid w:val="0059524C"/>
    <w:rsid w:val="005959F2"/>
    <w:rsid w:val="005B089C"/>
    <w:rsid w:val="005C6571"/>
    <w:rsid w:val="005D01D0"/>
    <w:rsid w:val="005D106E"/>
    <w:rsid w:val="005E1421"/>
    <w:rsid w:val="00603414"/>
    <w:rsid w:val="006131CF"/>
    <w:rsid w:val="00613556"/>
    <w:rsid w:val="0062065D"/>
    <w:rsid w:val="00631779"/>
    <w:rsid w:val="00632A38"/>
    <w:rsid w:val="00651E6D"/>
    <w:rsid w:val="006679B9"/>
    <w:rsid w:val="00673026"/>
    <w:rsid w:val="00687A08"/>
    <w:rsid w:val="00695480"/>
    <w:rsid w:val="0069726C"/>
    <w:rsid w:val="006A79FA"/>
    <w:rsid w:val="006C5D4A"/>
    <w:rsid w:val="006C6D70"/>
    <w:rsid w:val="006D2C53"/>
    <w:rsid w:val="006D69A4"/>
    <w:rsid w:val="006F5843"/>
    <w:rsid w:val="006F5BC0"/>
    <w:rsid w:val="00727C8B"/>
    <w:rsid w:val="007411BE"/>
    <w:rsid w:val="0074407F"/>
    <w:rsid w:val="007450D4"/>
    <w:rsid w:val="007629C9"/>
    <w:rsid w:val="00774479"/>
    <w:rsid w:val="00774CC2"/>
    <w:rsid w:val="00791D24"/>
    <w:rsid w:val="007A5EB6"/>
    <w:rsid w:val="007A7652"/>
    <w:rsid w:val="007B32C5"/>
    <w:rsid w:val="007B4771"/>
    <w:rsid w:val="007D485B"/>
    <w:rsid w:val="007D700F"/>
    <w:rsid w:val="007E4C7E"/>
    <w:rsid w:val="007E7302"/>
    <w:rsid w:val="007F5EB0"/>
    <w:rsid w:val="00812C23"/>
    <w:rsid w:val="00813A07"/>
    <w:rsid w:val="008147FC"/>
    <w:rsid w:val="00822C38"/>
    <w:rsid w:val="008235C6"/>
    <w:rsid w:val="00830066"/>
    <w:rsid w:val="0083440E"/>
    <w:rsid w:val="00836B56"/>
    <w:rsid w:val="008531B6"/>
    <w:rsid w:val="00857B0D"/>
    <w:rsid w:val="00861F50"/>
    <w:rsid w:val="00867757"/>
    <w:rsid w:val="008727FD"/>
    <w:rsid w:val="00873999"/>
    <w:rsid w:val="00874E83"/>
    <w:rsid w:val="008B1F49"/>
    <w:rsid w:val="008B30C1"/>
    <w:rsid w:val="008C1C17"/>
    <w:rsid w:val="008C3422"/>
    <w:rsid w:val="008C453F"/>
    <w:rsid w:val="008D1789"/>
    <w:rsid w:val="008D5541"/>
    <w:rsid w:val="008D64B9"/>
    <w:rsid w:val="008E37D6"/>
    <w:rsid w:val="009165F4"/>
    <w:rsid w:val="00917815"/>
    <w:rsid w:val="00926ADE"/>
    <w:rsid w:val="00935D39"/>
    <w:rsid w:val="00946B62"/>
    <w:rsid w:val="00960623"/>
    <w:rsid w:val="009615E6"/>
    <w:rsid w:val="00966DCC"/>
    <w:rsid w:val="00974D36"/>
    <w:rsid w:val="00977578"/>
    <w:rsid w:val="00990C8D"/>
    <w:rsid w:val="009A55EA"/>
    <w:rsid w:val="009B017F"/>
    <w:rsid w:val="009B1B0A"/>
    <w:rsid w:val="009B2BEA"/>
    <w:rsid w:val="009C2C19"/>
    <w:rsid w:val="009C513B"/>
    <w:rsid w:val="009C5CEC"/>
    <w:rsid w:val="009C6897"/>
    <w:rsid w:val="009D1090"/>
    <w:rsid w:val="009D1FB7"/>
    <w:rsid w:val="009D6376"/>
    <w:rsid w:val="009D70E1"/>
    <w:rsid w:val="009E3380"/>
    <w:rsid w:val="00A02C3B"/>
    <w:rsid w:val="00A033E9"/>
    <w:rsid w:val="00A043CF"/>
    <w:rsid w:val="00A228BD"/>
    <w:rsid w:val="00A25A18"/>
    <w:rsid w:val="00A2653F"/>
    <w:rsid w:val="00A405D8"/>
    <w:rsid w:val="00A52C42"/>
    <w:rsid w:val="00A5335F"/>
    <w:rsid w:val="00A61916"/>
    <w:rsid w:val="00A62C0F"/>
    <w:rsid w:val="00A630AA"/>
    <w:rsid w:val="00A6718F"/>
    <w:rsid w:val="00A7150D"/>
    <w:rsid w:val="00A74267"/>
    <w:rsid w:val="00A749A7"/>
    <w:rsid w:val="00A829F5"/>
    <w:rsid w:val="00A934FE"/>
    <w:rsid w:val="00AA7684"/>
    <w:rsid w:val="00AB3F20"/>
    <w:rsid w:val="00AD6BDC"/>
    <w:rsid w:val="00AE6EFE"/>
    <w:rsid w:val="00AE783C"/>
    <w:rsid w:val="00B03236"/>
    <w:rsid w:val="00B05348"/>
    <w:rsid w:val="00B12434"/>
    <w:rsid w:val="00B16186"/>
    <w:rsid w:val="00B5003E"/>
    <w:rsid w:val="00B514CD"/>
    <w:rsid w:val="00B5320A"/>
    <w:rsid w:val="00B54099"/>
    <w:rsid w:val="00B62DAE"/>
    <w:rsid w:val="00B66F24"/>
    <w:rsid w:val="00B77762"/>
    <w:rsid w:val="00B77E57"/>
    <w:rsid w:val="00B9005C"/>
    <w:rsid w:val="00B90C96"/>
    <w:rsid w:val="00BA4B1D"/>
    <w:rsid w:val="00BB047B"/>
    <w:rsid w:val="00BB0666"/>
    <w:rsid w:val="00BB56E2"/>
    <w:rsid w:val="00BD0EA7"/>
    <w:rsid w:val="00BF43E9"/>
    <w:rsid w:val="00C029D8"/>
    <w:rsid w:val="00C30E5A"/>
    <w:rsid w:val="00C366FD"/>
    <w:rsid w:val="00C4315C"/>
    <w:rsid w:val="00C47197"/>
    <w:rsid w:val="00C52F28"/>
    <w:rsid w:val="00C53002"/>
    <w:rsid w:val="00C5674D"/>
    <w:rsid w:val="00C60C38"/>
    <w:rsid w:val="00C65E71"/>
    <w:rsid w:val="00C6763D"/>
    <w:rsid w:val="00C72E2D"/>
    <w:rsid w:val="00C879D5"/>
    <w:rsid w:val="00C9123D"/>
    <w:rsid w:val="00C970F5"/>
    <w:rsid w:val="00CA0415"/>
    <w:rsid w:val="00CA097D"/>
    <w:rsid w:val="00CB06C2"/>
    <w:rsid w:val="00CB1220"/>
    <w:rsid w:val="00CB18D5"/>
    <w:rsid w:val="00CD2371"/>
    <w:rsid w:val="00CE3A73"/>
    <w:rsid w:val="00CE6755"/>
    <w:rsid w:val="00D011B8"/>
    <w:rsid w:val="00D12A00"/>
    <w:rsid w:val="00D2431E"/>
    <w:rsid w:val="00D26B0A"/>
    <w:rsid w:val="00D52F45"/>
    <w:rsid w:val="00D53DBB"/>
    <w:rsid w:val="00D63866"/>
    <w:rsid w:val="00D70066"/>
    <w:rsid w:val="00D74E2F"/>
    <w:rsid w:val="00D76326"/>
    <w:rsid w:val="00D90CBD"/>
    <w:rsid w:val="00D951F6"/>
    <w:rsid w:val="00DA4A21"/>
    <w:rsid w:val="00DB13D4"/>
    <w:rsid w:val="00DB3582"/>
    <w:rsid w:val="00DC1AC8"/>
    <w:rsid w:val="00DC5B19"/>
    <w:rsid w:val="00DC5EB1"/>
    <w:rsid w:val="00DF4232"/>
    <w:rsid w:val="00DF72C7"/>
    <w:rsid w:val="00DF7748"/>
    <w:rsid w:val="00E10ADA"/>
    <w:rsid w:val="00E113FB"/>
    <w:rsid w:val="00E36F65"/>
    <w:rsid w:val="00E420C6"/>
    <w:rsid w:val="00E4444B"/>
    <w:rsid w:val="00E4477A"/>
    <w:rsid w:val="00E4489C"/>
    <w:rsid w:val="00E500F1"/>
    <w:rsid w:val="00E55011"/>
    <w:rsid w:val="00E70C5D"/>
    <w:rsid w:val="00E77FB4"/>
    <w:rsid w:val="00E95BC2"/>
    <w:rsid w:val="00EA1554"/>
    <w:rsid w:val="00EA1BC5"/>
    <w:rsid w:val="00EA205C"/>
    <w:rsid w:val="00EA452C"/>
    <w:rsid w:val="00EB354D"/>
    <w:rsid w:val="00EC7D5C"/>
    <w:rsid w:val="00EE148D"/>
    <w:rsid w:val="00EE1BDB"/>
    <w:rsid w:val="00EE2508"/>
    <w:rsid w:val="00EF472E"/>
    <w:rsid w:val="00F02BBD"/>
    <w:rsid w:val="00F137D3"/>
    <w:rsid w:val="00F330B1"/>
    <w:rsid w:val="00F34D1F"/>
    <w:rsid w:val="00F46A19"/>
    <w:rsid w:val="00F52F63"/>
    <w:rsid w:val="00F53FAF"/>
    <w:rsid w:val="00F70D55"/>
    <w:rsid w:val="00F71A7A"/>
    <w:rsid w:val="00FA00CB"/>
    <w:rsid w:val="00FA13E2"/>
    <w:rsid w:val="00FB3CC7"/>
    <w:rsid w:val="00FB535A"/>
    <w:rsid w:val="00FB7CA7"/>
    <w:rsid w:val="00FC1F5C"/>
    <w:rsid w:val="00FC32D1"/>
    <w:rsid w:val="00FC66C0"/>
    <w:rsid w:val="00FC7E5D"/>
    <w:rsid w:val="00FD1088"/>
    <w:rsid w:val="00FD17B9"/>
    <w:rsid w:val="00FE53AC"/>
    <w:rsid w:val="00FF0881"/>
    <w:rsid w:val="00FF1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E4A5F919-2D82-4AE5-B5B6-50FD26E16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8344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822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22C38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7B4771"/>
  </w:style>
  <w:style w:type="paragraph" w:customStyle="1" w:styleId="10">
    <w:name w:val="Абзац списка1"/>
    <w:basedOn w:val="a"/>
    <w:rsid w:val="007B4771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7B4771"/>
    <w:pPr>
      <w:ind w:left="720"/>
      <w:contextualSpacing/>
    </w:pPr>
  </w:style>
  <w:style w:type="table" w:customStyle="1" w:styleId="11">
    <w:name w:val="Сетка таблицы1"/>
    <w:basedOn w:val="a1"/>
    <w:next w:val="a6"/>
    <w:uiPriority w:val="39"/>
    <w:rsid w:val="007B4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7B47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7B47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7B477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7B47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B477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B477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F0A3-6F78-4253-B7FF-183FF1A29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5505</Words>
  <Characters>31383</Characters>
  <Application>Microsoft Office Word</Application>
  <DocSecurity>0</DocSecurity>
  <Lines>261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Факультет Энергетика и нефтегазопромышленность</vt:lpstr>
      <vt:lpstr>        Кафедра  Машины и оборудование нефтегазового  комплекса</vt:lpstr>
      <vt:lpstr>        </vt:lpstr>
      <vt:lpstr>    ЭКЗАМЕНАЦИОННЫЙ  БИЛЕТ  № </vt:lpstr>
    </vt:vector>
  </TitlesOfParts>
  <Company/>
  <LinksUpToDate>false</LinksUpToDate>
  <CharactersWithSpaces>36815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Чукарина Ирина Михайловна</dc:creator>
  <cp:keywords/>
  <dc:description/>
  <cp:lastModifiedBy>Пользователь Windows</cp:lastModifiedBy>
  <cp:revision>3</cp:revision>
  <cp:lastPrinted>2023-05-15T08:01:00Z</cp:lastPrinted>
  <dcterms:created xsi:type="dcterms:W3CDTF">2024-04-23T11:13:00Z</dcterms:created>
  <dcterms:modified xsi:type="dcterms:W3CDTF">2024-04-23T11:13:00Z</dcterms:modified>
</cp:coreProperties>
</file>